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7A985" w14:textId="2691DD8B" w:rsidR="00437FE0" w:rsidRPr="00F27ECC" w:rsidRDefault="00437FE0" w:rsidP="00F27ECC">
      <w:pPr>
        <w:jc w:val="center"/>
        <w:rPr>
          <w:rStyle w:val="normaltextrun"/>
          <w:rFonts w:ascii="ITC Avant Garde Pro Bk" w:hAnsi="ITC Avant Garde Pro Bk"/>
          <w:sz w:val="96"/>
          <w:szCs w:val="96"/>
        </w:rPr>
      </w:pPr>
      <w:r w:rsidRPr="00F27ECC">
        <w:rPr>
          <w:rFonts w:ascii="ITC Avant Garde Pro Bk" w:hAnsi="ITC Avant Garde Pro Bk"/>
          <w:sz w:val="72"/>
          <w:szCs w:val="72"/>
        </w:rPr>
        <w:t>ELECTIONS RULE</w:t>
      </w:r>
      <w:r w:rsidR="00F27ECC" w:rsidRPr="00F27ECC">
        <w:rPr>
          <w:rFonts w:ascii="ITC Avant Garde Pro Bk" w:hAnsi="ITC Avant Garde Pro Bk"/>
          <w:sz w:val="72"/>
          <w:szCs w:val="72"/>
        </w:rPr>
        <w:t>S</w:t>
      </w:r>
    </w:p>
    <w:p w14:paraId="53A8F341" w14:textId="68CA3387" w:rsidR="00437FE0" w:rsidRPr="004D2953" w:rsidRDefault="00437FE0" w:rsidP="004D2953">
      <w:pPr>
        <w:pStyle w:val="NoSpacing"/>
        <w:rPr>
          <w:rStyle w:val="normaltextrun"/>
          <w:b/>
          <w:bCs/>
        </w:rPr>
      </w:pPr>
      <w:r w:rsidRPr="004D2953">
        <w:rPr>
          <w:rStyle w:val="normaltextrun"/>
          <w:b/>
          <w:bCs/>
        </w:rPr>
        <w:t>Any breach of the Elections Rules could result in disciplinary action being taken against you by the Deputy Returning Officer (DRO).  The DRO reserves the right to distribute sanctions that are deemed to be fair and equivalent to any breach of the Elections Rules.</w:t>
      </w:r>
    </w:p>
    <w:p w14:paraId="0E8DCE28" w14:textId="77777777" w:rsidR="00F27ECC" w:rsidRPr="004D2953" w:rsidRDefault="00F27ECC" w:rsidP="004D2953">
      <w:pPr>
        <w:pStyle w:val="NoSpacing"/>
      </w:pPr>
    </w:p>
    <w:p w14:paraId="06BEC6DD" w14:textId="5D3D2A54" w:rsidR="00437FE0" w:rsidRPr="004D2953" w:rsidRDefault="00437FE0" w:rsidP="004D2953">
      <w:pPr>
        <w:pStyle w:val="NoSpacing"/>
      </w:pPr>
      <w:r w:rsidRPr="004D2953">
        <w:t xml:space="preserve">We expect candidates to behave civilly and honestly and to ensure that they and their campaign teams support this. We ask all candidates to read the Elections Rules and sign it before campaigning starts to show you are aware that you will be held liable for your own and your supporters/team’s actions. </w:t>
      </w:r>
    </w:p>
    <w:p w14:paraId="4F02D4C9" w14:textId="77777777" w:rsidR="00437FE0" w:rsidRPr="00F27ECC" w:rsidRDefault="00437FE0" w:rsidP="00437FE0">
      <w:pPr>
        <w:spacing w:after="0" w:line="240" w:lineRule="auto"/>
        <w:rPr>
          <w:rFonts w:ascii="ITC Avant Garde Pro Bk" w:hAnsi="ITC Avant Garde Pro Bk" w:cstheme="minorHAnsi"/>
        </w:rPr>
      </w:pPr>
    </w:p>
    <w:p w14:paraId="29BD99BF" w14:textId="2483AFD4" w:rsidR="00437FE0" w:rsidRPr="004D2953" w:rsidRDefault="00437FE0" w:rsidP="004D2953">
      <w:pPr>
        <w:pStyle w:val="NoSpacing"/>
        <w:rPr>
          <w:rFonts w:eastAsia="Times New Roman" w:cs="Calibri"/>
          <w:b/>
          <w:bCs/>
          <w:color w:val="0E101A"/>
        </w:rPr>
      </w:pPr>
      <w:r w:rsidRPr="004D2953">
        <w:rPr>
          <w:b/>
          <w:bCs/>
        </w:rPr>
        <w:t xml:space="preserve">Wolves SU aims to: </w:t>
      </w:r>
    </w:p>
    <w:p w14:paraId="253B8007" w14:textId="77777777" w:rsidR="004D2953" w:rsidRDefault="00437FE0" w:rsidP="004D2953">
      <w:pPr>
        <w:pStyle w:val="NoSpacing"/>
        <w:numPr>
          <w:ilvl w:val="0"/>
          <w:numId w:val="24"/>
        </w:numPr>
      </w:pPr>
      <w:r w:rsidRPr="00F27ECC">
        <w:t>Conduct all elections in a</w:t>
      </w:r>
      <w:r w:rsidRPr="00F27ECC">
        <w:rPr>
          <w:rFonts w:eastAsia="Times New Roman" w:cs="Calibri"/>
          <w:color w:val="0E101A"/>
        </w:rPr>
        <w:t xml:space="preserve"> fair, equal, and appropriate manner. </w:t>
      </w:r>
    </w:p>
    <w:p w14:paraId="3AC5AFFA" w14:textId="77777777" w:rsidR="004D2953" w:rsidRDefault="00437FE0" w:rsidP="004D2953">
      <w:pPr>
        <w:pStyle w:val="NoSpacing"/>
        <w:numPr>
          <w:ilvl w:val="0"/>
          <w:numId w:val="24"/>
        </w:numPr>
      </w:pPr>
      <w:r w:rsidRPr="004D2953">
        <w:rPr>
          <w:rFonts w:eastAsia="Times New Roman" w:cs="Calibri"/>
          <w:color w:val="0E101A"/>
        </w:rPr>
        <w:t xml:space="preserve">Ensure all student members, whose principal relationship at Wolves SU is not as a staff member, </w:t>
      </w:r>
      <w:proofErr w:type="gramStart"/>
      <w:r w:rsidRPr="004D2953">
        <w:rPr>
          <w:rFonts w:eastAsia="Times New Roman" w:cs="Calibri"/>
          <w:color w:val="0E101A"/>
        </w:rPr>
        <w:t>have the opportunity to</w:t>
      </w:r>
      <w:proofErr w:type="gramEnd"/>
      <w:r w:rsidRPr="004D2953">
        <w:rPr>
          <w:rFonts w:eastAsia="Times New Roman" w:cs="Calibri"/>
          <w:color w:val="0E101A"/>
        </w:rPr>
        <w:t xml:space="preserve"> participate fully in all aspects of the Election. </w:t>
      </w:r>
    </w:p>
    <w:p w14:paraId="3ACE4132" w14:textId="2EC44632" w:rsidR="00437FE0" w:rsidRPr="00F27ECC" w:rsidRDefault="00437FE0" w:rsidP="004D2953">
      <w:pPr>
        <w:pStyle w:val="NoSpacing"/>
        <w:numPr>
          <w:ilvl w:val="0"/>
          <w:numId w:val="24"/>
        </w:numPr>
      </w:pPr>
      <w:r w:rsidRPr="004D2953">
        <w:rPr>
          <w:rFonts w:eastAsia="Times New Roman" w:cs="Calibri"/>
          <w:color w:val="0E101A"/>
        </w:rPr>
        <w:t xml:space="preserve">Conduct the elections in the spirit of cooperation and friendliness. </w:t>
      </w:r>
    </w:p>
    <w:p w14:paraId="15A7F71B" w14:textId="77777777" w:rsidR="00437FE0" w:rsidRPr="00F27ECC" w:rsidRDefault="00437FE0" w:rsidP="004D2953">
      <w:pPr>
        <w:pStyle w:val="NoSpacing"/>
      </w:pPr>
    </w:p>
    <w:p w14:paraId="37083C99" w14:textId="0C6347C5" w:rsidR="00437FE0" w:rsidRPr="004D2953" w:rsidRDefault="00437FE0" w:rsidP="004D2953">
      <w:pPr>
        <w:pStyle w:val="NoSpacing"/>
        <w:rPr>
          <w:b/>
          <w:bCs/>
          <w:u w:val="single"/>
        </w:rPr>
      </w:pPr>
      <w:r w:rsidRPr="004D2953">
        <w:rPr>
          <w:b/>
          <w:bCs/>
          <w:u w:val="single"/>
        </w:rPr>
        <w:t xml:space="preserve">Requirements </w:t>
      </w:r>
    </w:p>
    <w:p w14:paraId="73C8DA8C" w14:textId="77777777" w:rsidR="004D2953" w:rsidRDefault="00437FE0" w:rsidP="004D2953">
      <w:pPr>
        <w:pStyle w:val="NoSpacing"/>
        <w:numPr>
          <w:ilvl w:val="0"/>
          <w:numId w:val="25"/>
        </w:numPr>
      </w:pPr>
      <w:r w:rsidRPr="00F27ECC">
        <w:t>All candidates must be eligible to stand in the elections and agree to adhere to the Elections Rules, signing and returning this before campaigning starts.</w:t>
      </w:r>
    </w:p>
    <w:p w14:paraId="1F37A3FD" w14:textId="77777777" w:rsidR="004D2953" w:rsidRDefault="00437FE0" w:rsidP="004D2953">
      <w:pPr>
        <w:pStyle w:val="NoSpacing"/>
        <w:numPr>
          <w:ilvl w:val="0"/>
          <w:numId w:val="25"/>
        </w:numPr>
      </w:pPr>
      <w:r w:rsidRPr="00F27ECC">
        <w:t xml:space="preserve">All candidates must attend a Candidate Briefing session or meet with the DRO before the voting period begins. </w:t>
      </w:r>
    </w:p>
    <w:p w14:paraId="63BF054F" w14:textId="77777777" w:rsidR="004D2953" w:rsidRDefault="00437FE0" w:rsidP="004D2953">
      <w:pPr>
        <w:pStyle w:val="NoSpacing"/>
        <w:numPr>
          <w:ilvl w:val="0"/>
          <w:numId w:val="25"/>
        </w:numPr>
      </w:pPr>
      <w:r w:rsidRPr="00F27ECC">
        <w:t xml:space="preserve">All candidates should attend Question Time event/s hosted by Wolves SU. </w:t>
      </w:r>
    </w:p>
    <w:p w14:paraId="37EE04C4" w14:textId="77777777" w:rsidR="00F27ECC" w:rsidRPr="00F27ECC" w:rsidRDefault="00F27ECC" w:rsidP="00F27ECC">
      <w:pPr>
        <w:spacing w:after="0" w:line="240" w:lineRule="auto"/>
        <w:rPr>
          <w:rFonts w:ascii="ITC Avant Garde Pro Bk" w:hAnsi="ITC Avant Garde Pro Bk"/>
          <w:bCs/>
        </w:rPr>
      </w:pPr>
    </w:p>
    <w:p w14:paraId="39E9B444" w14:textId="110837E5" w:rsidR="00437FE0" w:rsidRPr="004D2953" w:rsidRDefault="00437FE0" w:rsidP="004D2953">
      <w:pPr>
        <w:pStyle w:val="NoSpacing"/>
        <w:rPr>
          <w:b/>
          <w:bCs/>
          <w:u w:val="single"/>
        </w:rPr>
      </w:pPr>
      <w:r w:rsidRPr="004D2953">
        <w:rPr>
          <w:b/>
          <w:bCs/>
          <w:u w:val="single"/>
        </w:rPr>
        <w:t>Conduct</w:t>
      </w:r>
    </w:p>
    <w:p w14:paraId="5F793117" w14:textId="77777777" w:rsidR="004D2953" w:rsidRDefault="00F765AF" w:rsidP="004D2953">
      <w:pPr>
        <w:pStyle w:val="NoSpacing"/>
        <w:numPr>
          <w:ilvl w:val="0"/>
          <w:numId w:val="26"/>
        </w:numPr>
        <w:rPr>
          <w:bCs/>
        </w:rPr>
      </w:pPr>
      <w:bookmarkStart w:id="0" w:name="_Hlk125035009"/>
      <w:bookmarkStart w:id="1" w:name="_Hlk125035152"/>
      <w:r>
        <w:rPr>
          <w:bCs/>
        </w:rPr>
        <w:t xml:space="preserve">Candidates should remain respectful of all staff, students and others throughout the elections process. </w:t>
      </w:r>
    </w:p>
    <w:p w14:paraId="6BB10A22" w14:textId="77777777" w:rsidR="00852A0D" w:rsidRDefault="00F765AF" w:rsidP="00852A0D">
      <w:pPr>
        <w:pStyle w:val="NoSpacing"/>
        <w:numPr>
          <w:ilvl w:val="0"/>
          <w:numId w:val="26"/>
        </w:numPr>
        <w:rPr>
          <w:bCs/>
        </w:rPr>
      </w:pPr>
      <w:r w:rsidRPr="004D2953">
        <w:rPr>
          <w:bCs/>
        </w:rPr>
        <w:t>Candidates are responsible for the activities carried out by their campaign supporters/team.</w:t>
      </w:r>
    </w:p>
    <w:p w14:paraId="0E8C44AE" w14:textId="4D771016" w:rsidR="004D2953" w:rsidRPr="004D2953" w:rsidRDefault="004D2953" w:rsidP="00852A0D">
      <w:pPr>
        <w:pStyle w:val="NoSpacing"/>
        <w:numPr>
          <w:ilvl w:val="0"/>
          <w:numId w:val="26"/>
        </w:numPr>
        <w:rPr>
          <w:bCs/>
        </w:rPr>
      </w:pPr>
      <w:r>
        <w:rPr>
          <w:bCs/>
        </w:rPr>
        <w:t xml:space="preserve">The candidate will be held responsible for any breaking of rules by campaign team/supporters. </w:t>
      </w:r>
      <w:r w:rsidR="00F765AF" w:rsidRPr="004D2953">
        <w:rPr>
          <w:bCs/>
        </w:rPr>
        <w:t xml:space="preserve"> </w:t>
      </w:r>
    </w:p>
    <w:p w14:paraId="01474B72" w14:textId="4511866D" w:rsidR="004D2953" w:rsidRDefault="00A0110D" w:rsidP="004D2953">
      <w:pPr>
        <w:pStyle w:val="NoSpacing"/>
        <w:numPr>
          <w:ilvl w:val="0"/>
          <w:numId w:val="26"/>
        </w:numPr>
        <w:rPr>
          <w:bCs/>
        </w:rPr>
      </w:pPr>
      <w:r w:rsidRPr="004D2953">
        <w:rPr>
          <w:bCs/>
        </w:rPr>
        <w:t xml:space="preserve">Candidates may only begin campaigning after attending the training, returned the Elections Rules, attended Candidate Training and the campaigning period has opened. </w:t>
      </w:r>
      <w:r w:rsidR="009547C2">
        <w:rPr>
          <w:bCs/>
        </w:rPr>
        <w:t>This date/time will be specified during the training session.</w:t>
      </w:r>
    </w:p>
    <w:p w14:paraId="533BEC0A" w14:textId="77777777" w:rsidR="004D2953" w:rsidRDefault="00A0110D" w:rsidP="004D2953">
      <w:pPr>
        <w:pStyle w:val="NoSpacing"/>
        <w:numPr>
          <w:ilvl w:val="0"/>
          <w:numId w:val="26"/>
        </w:numPr>
        <w:rPr>
          <w:bCs/>
        </w:rPr>
      </w:pPr>
      <w:r w:rsidRPr="004D2953">
        <w:rPr>
          <w:bCs/>
        </w:rPr>
        <w:t xml:space="preserve">Candidates are not allowed to run in a slate. A slate is defined as a group of candidates joining together to campaign via resources or campaign material. </w:t>
      </w:r>
      <w:bookmarkEnd w:id="0"/>
      <w:bookmarkEnd w:id="1"/>
    </w:p>
    <w:p w14:paraId="08E829C5" w14:textId="77777777" w:rsidR="004D2953" w:rsidRDefault="00437FE0" w:rsidP="004D2953">
      <w:pPr>
        <w:pStyle w:val="NoSpacing"/>
        <w:numPr>
          <w:ilvl w:val="0"/>
          <w:numId w:val="26"/>
        </w:numPr>
        <w:rPr>
          <w:bCs/>
        </w:rPr>
      </w:pPr>
      <w:r w:rsidRPr="004D2953">
        <w:rPr>
          <w:bCs/>
        </w:rPr>
        <w:t xml:space="preserve">Candidates and their supporters/team may only alter, move or remove their own campaign materials. </w:t>
      </w:r>
    </w:p>
    <w:p w14:paraId="264287D2" w14:textId="77777777" w:rsidR="004D2953" w:rsidRDefault="00437FE0" w:rsidP="004D2953">
      <w:pPr>
        <w:pStyle w:val="NoSpacing"/>
        <w:numPr>
          <w:ilvl w:val="0"/>
          <w:numId w:val="26"/>
        </w:numPr>
        <w:rPr>
          <w:bCs/>
        </w:rPr>
      </w:pPr>
      <w:r w:rsidRPr="004D2953">
        <w:rPr>
          <w:bCs/>
        </w:rPr>
        <w:t xml:space="preserve">Candidates and their supporters/team are not allowed to use mailing lists to campaign. </w:t>
      </w:r>
    </w:p>
    <w:p w14:paraId="05A62641" w14:textId="77777777" w:rsidR="004D2953" w:rsidRDefault="00A0110D" w:rsidP="004D2953">
      <w:pPr>
        <w:pStyle w:val="NoSpacing"/>
        <w:numPr>
          <w:ilvl w:val="0"/>
          <w:numId w:val="26"/>
        </w:numPr>
        <w:rPr>
          <w:bCs/>
        </w:rPr>
      </w:pPr>
      <w:r w:rsidRPr="004D2953">
        <w:rPr>
          <w:rFonts w:cstheme="minorHAnsi"/>
        </w:rPr>
        <w:t>Candidates may use social media but all platforms they use to campaign must be public</w:t>
      </w:r>
      <w:r w:rsidR="00AD670B" w:rsidRPr="004D2953">
        <w:rPr>
          <w:rFonts w:cstheme="minorHAnsi"/>
        </w:rPr>
        <w:t xml:space="preserve"> and</w:t>
      </w:r>
      <w:r w:rsidRPr="004D2953">
        <w:rPr>
          <w:rFonts w:cstheme="minorHAnsi"/>
        </w:rPr>
        <w:t xml:space="preserve"> accessible to other candidates.</w:t>
      </w:r>
      <w:bookmarkStart w:id="2" w:name="_Hlk125035219"/>
    </w:p>
    <w:p w14:paraId="63C9BA6B" w14:textId="77BBC267" w:rsidR="004D2953" w:rsidRDefault="00A0110D" w:rsidP="004D2953">
      <w:pPr>
        <w:pStyle w:val="NoSpacing"/>
        <w:numPr>
          <w:ilvl w:val="0"/>
          <w:numId w:val="26"/>
        </w:numPr>
        <w:rPr>
          <w:bCs/>
        </w:rPr>
      </w:pPr>
      <w:r w:rsidRPr="004D2953">
        <w:rPr>
          <w:rFonts w:cstheme="minorHAnsi"/>
        </w:rPr>
        <w:t>Candidates cannot campaign when on duty either as a member of Union or University staff</w:t>
      </w:r>
      <w:r w:rsidR="00852A0D">
        <w:rPr>
          <w:rFonts w:cstheme="minorHAnsi"/>
        </w:rPr>
        <w:t>.</w:t>
      </w:r>
    </w:p>
    <w:p w14:paraId="5DDDDD39" w14:textId="77777777" w:rsidR="004D2953" w:rsidRDefault="00A0110D" w:rsidP="004D2953">
      <w:pPr>
        <w:pStyle w:val="NoSpacing"/>
        <w:numPr>
          <w:ilvl w:val="0"/>
          <w:numId w:val="26"/>
        </w:numPr>
        <w:rPr>
          <w:bCs/>
        </w:rPr>
      </w:pPr>
      <w:r w:rsidRPr="004D2953">
        <w:rPr>
          <w:rFonts w:eastAsia="Times New Roman" w:cs="Calibri"/>
          <w:color w:val="0E101A"/>
        </w:rPr>
        <w:t>It is against the rules to campaign in IT Suites on the University campus.</w:t>
      </w:r>
    </w:p>
    <w:p w14:paraId="60C30DD8" w14:textId="667C5740" w:rsidR="00A0110D" w:rsidRPr="004D2953" w:rsidRDefault="00BE0B1C" w:rsidP="004D2953">
      <w:pPr>
        <w:pStyle w:val="NoSpacing"/>
        <w:numPr>
          <w:ilvl w:val="0"/>
          <w:numId w:val="26"/>
        </w:numPr>
        <w:rPr>
          <w:bCs/>
        </w:rPr>
      </w:pPr>
      <w:r w:rsidRPr="004D2953">
        <w:rPr>
          <w:rFonts w:cstheme="minorHAnsi"/>
        </w:rPr>
        <w:t xml:space="preserve">Candidates cannot be endorsed by student staff, society committee/executives, societies, external </w:t>
      </w:r>
      <w:r w:rsidR="00852A0D" w:rsidRPr="004D2953">
        <w:rPr>
          <w:rFonts w:cstheme="minorHAnsi"/>
        </w:rPr>
        <w:t>companies,</w:t>
      </w:r>
      <w:r w:rsidRPr="004D2953">
        <w:rPr>
          <w:rFonts w:cstheme="minorHAnsi"/>
        </w:rPr>
        <w:t xml:space="preserve"> or officers (including previous</w:t>
      </w:r>
      <w:r w:rsidR="004D2953">
        <w:rPr>
          <w:rFonts w:cstheme="minorHAnsi"/>
        </w:rPr>
        <w:t xml:space="preserve"> or current</w:t>
      </w:r>
      <w:r w:rsidRPr="004D2953">
        <w:rPr>
          <w:rFonts w:cstheme="minorHAnsi"/>
        </w:rPr>
        <w:t xml:space="preserve"> officers). </w:t>
      </w:r>
    </w:p>
    <w:p w14:paraId="7DB13DE7" w14:textId="77777777" w:rsidR="004D2953" w:rsidRDefault="00BE0B1C" w:rsidP="004D2953">
      <w:pPr>
        <w:pStyle w:val="NoSpacing"/>
        <w:numPr>
          <w:ilvl w:val="0"/>
          <w:numId w:val="26"/>
        </w:numPr>
      </w:pPr>
      <w:r w:rsidRPr="00F27ECC">
        <w:t>Candidates and their supporters/team must not communicate or interfere with voters in any way once they’ve begun to complete their voting ballot, this includes voting on behalf of a student or allowing voters to use a personal electronic device to vote</w:t>
      </w:r>
      <w:r w:rsidR="004D2953">
        <w:t>.</w:t>
      </w:r>
    </w:p>
    <w:p w14:paraId="4F63DD91" w14:textId="1FB6FCCD" w:rsidR="004D2953" w:rsidRDefault="00BE0B1C" w:rsidP="004D2953">
      <w:pPr>
        <w:pStyle w:val="NoSpacing"/>
        <w:numPr>
          <w:ilvl w:val="0"/>
          <w:numId w:val="26"/>
        </w:numPr>
      </w:pPr>
      <w:r w:rsidRPr="004D2953">
        <w:rPr>
          <w:rFonts w:cstheme="minorHAnsi"/>
        </w:rPr>
        <w:lastRenderedPageBreak/>
        <w:t>Candidates are not allowed within 5 metres of a polling station; this includes public computers on campus and mobile phones.</w:t>
      </w:r>
      <w:r w:rsidR="009547C2">
        <w:rPr>
          <w:rFonts w:cstheme="minorHAnsi"/>
        </w:rPr>
        <w:t xml:space="preserve"> As soon as the voting portal appears on any device, this is then defined as a ‘polling station’</w:t>
      </w:r>
    </w:p>
    <w:p w14:paraId="23A7D468" w14:textId="77777777" w:rsidR="004D2953" w:rsidRDefault="00BE0B1C" w:rsidP="004D2953">
      <w:pPr>
        <w:pStyle w:val="NoSpacing"/>
        <w:numPr>
          <w:ilvl w:val="0"/>
          <w:numId w:val="26"/>
        </w:numPr>
      </w:pPr>
      <w:r w:rsidRPr="00F27ECC">
        <w:t xml:space="preserve">Candidates and their supporters/team should avoid behaviour that could be considered intimidation or harassment of an individual to vote in a particular way. </w:t>
      </w:r>
    </w:p>
    <w:p w14:paraId="752FED7C" w14:textId="7780CF91" w:rsidR="00BE0B1C" w:rsidRPr="00F27ECC" w:rsidRDefault="00BE0B1C" w:rsidP="004D2953">
      <w:pPr>
        <w:pStyle w:val="NoSpacing"/>
        <w:numPr>
          <w:ilvl w:val="0"/>
          <w:numId w:val="26"/>
        </w:numPr>
      </w:pPr>
      <w:r w:rsidRPr="00F27ECC">
        <w:t xml:space="preserve">Candidates and their supporters/team should not engage in behaviour that could be considered abusive or constitute a personal attack on a named individual. </w:t>
      </w:r>
    </w:p>
    <w:bookmarkEnd w:id="2"/>
    <w:p w14:paraId="4C1476CF" w14:textId="2FD7FBEA" w:rsidR="00437FE0" w:rsidRPr="00F27ECC" w:rsidRDefault="00437FE0" w:rsidP="004D2953">
      <w:pPr>
        <w:pStyle w:val="NoSpacing"/>
      </w:pPr>
    </w:p>
    <w:p w14:paraId="5ED6B3D6" w14:textId="088C7C81" w:rsidR="00437FE0" w:rsidRPr="004D2953" w:rsidRDefault="00437FE0" w:rsidP="004D2953">
      <w:pPr>
        <w:pStyle w:val="NoSpacing"/>
        <w:rPr>
          <w:b/>
          <w:bCs/>
          <w:u w:val="single"/>
        </w:rPr>
      </w:pPr>
      <w:r w:rsidRPr="004D2953">
        <w:rPr>
          <w:b/>
          <w:bCs/>
          <w:u w:val="single"/>
        </w:rPr>
        <w:t xml:space="preserve">Budget and Promotional Material </w:t>
      </w:r>
    </w:p>
    <w:p w14:paraId="2E9C66EF" w14:textId="64243323" w:rsidR="00437FE0" w:rsidRPr="00F27ECC" w:rsidRDefault="00437FE0" w:rsidP="004D2953">
      <w:pPr>
        <w:pStyle w:val="NoSpacing"/>
        <w:numPr>
          <w:ilvl w:val="0"/>
          <w:numId w:val="27"/>
        </w:numPr>
        <w:rPr>
          <w:bCs/>
        </w:rPr>
      </w:pPr>
      <w:r w:rsidRPr="00F27ECC">
        <w:rPr>
          <w:bCs/>
        </w:rPr>
        <w:t xml:space="preserve">No candidate may spend more on their campaign than the budget set by the DRO. This includes using their own funds. </w:t>
      </w:r>
    </w:p>
    <w:p w14:paraId="5A8CAA51" w14:textId="77777777" w:rsidR="004D2953" w:rsidRDefault="00437FE0" w:rsidP="004D2953">
      <w:pPr>
        <w:pStyle w:val="NoSpacing"/>
        <w:numPr>
          <w:ilvl w:val="0"/>
          <w:numId w:val="27"/>
        </w:numPr>
        <w:rPr>
          <w:bCs/>
        </w:rPr>
      </w:pPr>
      <w:r w:rsidRPr="00F27ECC">
        <w:rPr>
          <w:bCs/>
        </w:rPr>
        <w:t xml:space="preserve">Items freely and readily available to all campaigners can be used by all candidates. </w:t>
      </w:r>
    </w:p>
    <w:p w14:paraId="2F695344" w14:textId="77777777" w:rsidR="004D2953" w:rsidRDefault="00F27ECC" w:rsidP="004D2953">
      <w:pPr>
        <w:pStyle w:val="NoSpacing"/>
        <w:numPr>
          <w:ilvl w:val="0"/>
          <w:numId w:val="27"/>
        </w:numPr>
        <w:rPr>
          <w:bCs/>
        </w:rPr>
      </w:pPr>
      <w:r w:rsidRPr="004D2953">
        <w:rPr>
          <w:rFonts w:cstheme="minorHAnsi"/>
        </w:rPr>
        <w:t xml:space="preserve">Candidates cannot use discounts that are only available to you i.e., loyalty points, member only deals, special relationships (“mates’ rates”). This includes ‘freebies’ donated to the candidate. </w:t>
      </w:r>
    </w:p>
    <w:p w14:paraId="62AE694B" w14:textId="77777777" w:rsidR="004D2953" w:rsidRDefault="000E7E03" w:rsidP="004D2953">
      <w:pPr>
        <w:pStyle w:val="NoSpacing"/>
        <w:numPr>
          <w:ilvl w:val="0"/>
          <w:numId w:val="27"/>
        </w:numPr>
        <w:rPr>
          <w:bCs/>
        </w:rPr>
      </w:pPr>
      <w:r w:rsidRPr="004D2953">
        <w:rPr>
          <w:rFonts w:cstheme="minorHAnsi"/>
        </w:rPr>
        <w:t>All costs must be declared with receipts before the deadline to receive reimbursement. We will not reimburse any money to candidates who fail to hand in receipts before the deadline.</w:t>
      </w:r>
    </w:p>
    <w:p w14:paraId="4D169039" w14:textId="319AF23F" w:rsidR="004D2953" w:rsidRPr="00102C90" w:rsidRDefault="000E7E03" w:rsidP="00102C90">
      <w:pPr>
        <w:pStyle w:val="NoSpacing"/>
        <w:numPr>
          <w:ilvl w:val="0"/>
          <w:numId w:val="27"/>
        </w:numPr>
        <w:rPr>
          <w:bCs/>
        </w:rPr>
      </w:pPr>
      <w:r w:rsidRPr="004D2953">
        <w:rPr>
          <w:rFonts w:cstheme="minorHAnsi"/>
        </w:rPr>
        <w:t>Items that campaigners already own can be valued using a price list available from the elections team (</w:t>
      </w:r>
      <w:r w:rsidR="00102C90">
        <w:t>natalia.falacinska@wlv.ac.uk).</w:t>
      </w:r>
      <w:r w:rsidR="00F27ECC" w:rsidRPr="00102C90">
        <w:rPr>
          <w:rFonts w:cstheme="minorHAnsi"/>
        </w:rPr>
        <w:t xml:space="preserve"> The DRO will value items not on this list within one working day of the request for an evaluation. </w:t>
      </w:r>
      <w:bookmarkStart w:id="3" w:name="_Hlk125034912"/>
    </w:p>
    <w:p w14:paraId="362E3A47" w14:textId="029B749E" w:rsidR="004D2953" w:rsidRDefault="00437FE0" w:rsidP="004D2953">
      <w:pPr>
        <w:pStyle w:val="NoSpacing"/>
        <w:numPr>
          <w:ilvl w:val="0"/>
          <w:numId w:val="27"/>
        </w:numPr>
        <w:rPr>
          <w:bCs/>
        </w:rPr>
      </w:pPr>
      <w:r w:rsidRPr="004D2953">
        <w:rPr>
          <w:bCs/>
        </w:rPr>
        <w:t xml:space="preserve">Wolves SU </w:t>
      </w:r>
      <w:r w:rsidR="009547C2">
        <w:rPr>
          <w:bCs/>
        </w:rPr>
        <w:t xml:space="preserve">or University </w:t>
      </w:r>
      <w:r w:rsidRPr="004D2953">
        <w:rPr>
          <w:bCs/>
        </w:rPr>
        <w:t xml:space="preserve">logos may not be used in candidate promotional material. </w:t>
      </w:r>
      <w:bookmarkEnd w:id="3"/>
    </w:p>
    <w:p w14:paraId="6C35397B" w14:textId="42CBA60A" w:rsidR="004D2953" w:rsidRDefault="00437FE0" w:rsidP="004D2953">
      <w:pPr>
        <w:pStyle w:val="NoSpacing"/>
        <w:numPr>
          <w:ilvl w:val="0"/>
          <w:numId w:val="27"/>
        </w:numPr>
        <w:rPr>
          <w:bCs/>
        </w:rPr>
      </w:pPr>
      <w:r w:rsidRPr="004D2953">
        <w:rPr>
          <w:bCs/>
        </w:rPr>
        <w:t xml:space="preserve">Candidate promotional material must be signed off by the DRO prior to </w:t>
      </w:r>
      <w:r w:rsidR="004D2953">
        <w:rPr>
          <w:bCs/>
        </w:rPr>
        <w:t xml:space="preserve">being used. </w:t>
      </w:r>
      <w:r w:rsidRPr="004D2953">
        <w:rPr>
          <w:bCs/>
        </w:rPr>
        <w:t xml:space="preserve"> </w:t>
      </w:r>
    </w:p>
    <w:p w14:paraId="39FCCC9C" w14:textId="7905BD1F" w:rsidR="008945F1" w:rsidRPr="004D2953" w:rsidRDefault="00A0110D" w:rsidP="004D2953">
      <w:pPr>
        <w:pStyle w:val="NoSpacing"/>
        <w:numPr>
          <w:ilvl w:val="0"/>
          <w:numId w:val="27"/>
        </w:numPr>
        <w:rPr>
          <w:bCs/>
        </w:rPr>
      </w:pPr>
      <w:r w:rsidRPr="004D2953">
        <w:rPr>
          <w:rFonts w:eastAsia="Century Gothic" w:cstheme="minorHAnsi"/>
          <w:bCs/>
        </w:rPr>
        <w:t xml:space="preserve">All candidates are responsible for ensuring they have permission to post publicity or to canvass in specified areas. </w:t>
      </w:r>
    </w:p>
    <w:p w14:paraId="676511DE" w14:textId="77777777" w:rsidR="004D2953" w:rsidRPr="004D2953" w:rsidRDefault="004D2953" w:rsidP="004D2953">
      <w:pPr>
        <w:pStyle w:val="NoSpacing"/>
        <w:rPr>
          <w:rFonts w:eastAsia="Century Gothic" w:cstheme="minorHAnsi"/>
          <w:b/>
          <w:u w:val="single"/>
        </w:rPr>
      </w:pPr>
    </w:p>
    <w:p w14:paraId="4E7269A0" w14:textId="41806238" w:rsidR="004D2953" w:rsidRDefault="004D2953" w:rsidP="004D2953">
      <w:pPr>
        <w:pStyle w:val="NoSpacing"/>
        <w:rPr>
          <w:rFonts w:eastAsia="Century Gothic" w:cstheme="minorHAnsi"/>
          <w:b/>
          <w:u w:val="single"/>
        </w:rPr>
      </w:pPr>
      <w:r w:rsidRPr="004D2953">
        <w:rPr>
          <w:rFonts w:eastAsia="Century Gothic" w:cstheme="minorHAnsi"/>
          <w:b/>
          <w:u w:val="single"/>
        </w:rPr>
        <w:t xml:space="preserve">Complaints and Appeals </w:t>
      </w:r>
    </w:p>
    <w:p w14:paraId="33711A83" w14:textId="68406070" w:rsidR="009547C2" w:rsidRPr="009547C2" w:rsidRDefault="004D2953" w:rsidP="009547C2">
      <w:pPr>
        <w:pStyle w:val="NoSpacing"/>
        <w:numPr>
          <w:ilvl w:val="0"/>
          <w:numId w:val="29"/>
        </w:numPr>
        <w:rPr>
          <w:rFonts w:eastAsia="Century Gothic" w:cstheme="minorHAnsi"/>
          <w:bCs/>
        </w:rPr>
      </w:pPr>
      <w:r w:rsidRPr="004D2953">
        <w:rPr>
          <w:rFonts w:eastAsia="Century Gothic" w:cstheme="minorHAnsi"/>
          <w:bCs/>
        </w:rPr>
        <w:t>I</w:t>
      </w:r>
      <w:r w:rsidR="00102C90">
        <w:rPr>
          <w:rFonts w:eastAsia="Century Gothic" w:cstheme="minorHAnsi"/>
          <w:bCs/>
        </w:rPr>
        <w:t xml:space="preserve">f you wish to complain about a candidate or their campaign team, please contact </w:t>
      </w:r>
      <w:r w:rsidR="009547C2" w:rsidRPr="009547C2">
        <w:rPr>
          <w:rFonts w:eastAsia="Century Gothic" w:cstheme="minorHAnsi"/>
          <w:bCs/>
        </w:rPr>
        <w:t>Complaints.wolvesunion@wlv.ac.uk</w:t>
      </w:r>
    </w:p>
    <w:p w14:paraId="487F95F6" w14:textId="572F3227" w:rsidR="004D2953" w:rsidRPr="004D2953" w:rsidRDefault="00102C90" w:rsidP="004D2953">
      <w:pPr>
        <w:pStyle w:val="NoSpacing"/>
        <w:numPr>
          <w:ilvl w:val="0"/>
          <w:numId w:val="29"/>
        </w:numPr>
        <w:rPr>
          <w:rFonts w:eastAsia="Century Gothic" w:cstheme="minorHAnsi"/>
          <w:bCs/>
        </w:rPr>
      </w:pPr>
      <w:r>
        <w:rPr>
          <w:rFonts w:eastAsia="Century Gothic" w:cstheme="minorHAnsi"/>
          <w:bCs/>
        </w:rPr>
        <w:t>I</w:t>
      </w:r>
      <w:r w:rsidR="004D2953" w:rsidRPr="004D2953">
        <w:rPr>
          <w:rFonts w:eastAsia="Century Gothic" w:cstheme="minorHAnsi"/>
          <w:bCs/>
        </w:rPr>
        <w:t xml:space="preserve">n the event of a candidate wishing to appeal a decision made by the Deputy Returning Officer they may contact the Returning Officer through the following email </w:t>
      </w:r>
      <w:r w:rsidRPr="00102C90">
        <w:rPr>
          <w:rFonts w:eastAsia="Century Gothic" w:cstheme="minorHAnsi"/>
          <w:bCs/>
        </w:rPr>
        <w:t>elections@nus.org.uk</w:t>
      </w:r>
      <w:r>
        <w:rPr>
          <w:rFonts w:eastAsia="Century Gothic" w:cstheme="minorHAnsi"/>
          <w:bCs/>
        </w:rPr>
        <w:t>.</w:t>
      </w:r>
    </w:p>
    <w:p w14:paraId="27136890" w14:textId="4EE2B1CE" w:rsidR="004D2953" w:rsidRPr="004D2953" w:rsidRDefault="004D2953" w:rsidP="004D2953">
      <w:pPr>
        <w:pStyle w:val="NoSpacing"/>
        <w:numPr>
          <w:ilvl w:val="0"/>
          <w:numId w:val="28"/>
        </w:numPr>
        <w:rPr>
          <w:rFonts w:eastAsia="Century Gothic" w:cstheme="minorHAnsi"/>
          <w:bCs/>
        </w:rPr>
      </w:pPr>
      <w:r w:rsidRPr="004D2953">
        <w:rPr>
          <w:rFonts w:eastAsia="Century Gothic" w:cstheme="minorHAnsi"/>
          <w:bCs/>
        </w:rPr>
        <w:t xml:space="preserve">Candidates have 60 minutes after the close of voting to submit any complaints or appeals regarding the election. Complaints/Appeals after this time will not be actioned. </w:t>
      </w:r>
    </w:p>
    <w:p w14:paraId="7588E8D6" w14:textId="77777777" w:rsidR="004D2953" w:rsidRPr="004D2953" w:rsidRDefault="004D2953" w:rsidP="004D2953">
      <w:pPr>
        <w:pStyle w:val="NoSpacing"/>
        <w:rPr>
          <w:b/>
          <w:u w:val="single"/>
        </w:rPr>
      </w:pPr>
    </w:p>
    <w:p w14:paraId="455FB8C5" w14:textId="77777777" w:rsidR="00F27ECC" w:rsidRPr="00F27ECC" w:rsidRDefault="00F27ECC" w:rsidP="00F27ECC">
      <w:pPr>
        <w:spacing w:after="0" w:line="240" w:lineRule="auto"/>
        <w:rPr>
          <w:rFonts w:ascii="ITC Avant Garde Pro Bk" w:eastAsia="Century Gothic" w:hAnsi="ITC Avant Garde Pro Bk" w:cstheme="minorHAnsi"/>
          <w:bCs/>
        </w:rPr>
      </w:pPr>
    </w:p>
    <w:tbl>
      <w:tblPr>
        <w:tblStyle w:val="TableGrid"/>
        <w:tblW w:w="0" w:type="auto"/>
        <w:tblLook w:val="04A0" w:firstRow="1" w:lastRow="0" w:firstColumn="1" w:lastColumn="0" w:noHBand="0" w:noVBand="1"/>
      </w:tblPr>
      <w:tblGrid>
        <w:gridCol w:w="1519"/>
        <w:gridCol w:w="7497"/>
      </w:tblGrid>
      <w:tr w:rsidR="00DF4579" w:rsidRPr="00F27ECC" w14:paraId="44584EFB" w14:textId="77777777" w:rsidTr="00932D7E">
        <w:tc>
          <w:tcPr>
            <w:tcW w:w="9242" w:type="dxa"/>
            <w:gridSpan w:val="2"/>
          </w:tcPr>
          <w:p w14:paraId="44584EFA" w14:textId="2C567121" w:rsidR="00DF4579" w:rsidRPr="00F27ECC" w:rsidRDefault="00DF4579" w:rsidP="00051143">
            <w:pPr>
              <w:jc w:val="both"/>
              <w:rPr>
                <w:rFonts w:ascii="ITC Avant Garde Pro Bk" w:hAnsi="ITC Avant Garde Pro Bk" w:cstheme="minorHAnsi"/>
                <w:b/>
              </w:rPr>
            </w:pPr>
            <w:r w:rsidRPr="00F27ECC">
              <w:rPr>
                <w:rFonts w:ascii="ITC Avant Garde Pro Bk" w:hAnsi="ITC Avant Garde Pro Bk" w:cstheme="minorHAnsi"/>
                <w:b/>
                <w:sz w:val="20"/>
                <w:szCs w:val="20"/>
              </w:rPr>
              <w:t xml:space="preserve">I agree to abide by </w:t>
            </w:r>
            <w:r w:rsidR="008945F1" w:rsidRPr="00F27ECC">
              <w:rPr>
                <w:rFonts w:ascii="ITC Avant Garde Pro Bk" w:hAnsi="ITC Avant Garde Pro Bk" w:cstheme="minorHAnsi"/>
                <w:b/>
                <w:sz w:val="20"/>
                <w:szCs w:val="20"/>
              </w:rPr>
              <w:t>all</w:t>
            </w:r>
            <w:r w:rsidRPr="00F27ECC">
              <w:rPr>
                <w:rFonts w:ascii="ITC Avant Garde Pro Bk" w:hAnsi="ITC Avant Garde Pro Bk" w:cstheme="minorHAnsi"/>
                <w:b/>
                <w:sz w:val="20"/>
                <w:szCs w:val="20"/>
              </w:rPr>
              <w:t xml:space="preserve"> the above </w:t>
            </w:r>
            <w:r w:rsidR="00F27ECC" w:rsidRPr="00F27ECC">
              <w:rPr>
                <w:rFonts w:ascii="ITC Avant Garde Pro Bk" w:hAnsi="ITC Avant Garde Pro Bk" w:cstheme="minorHAnsi"/>
                <w:b/>
                <w:sz w:val="20"/>
                <w:szCs w:val="20"/>
              </w:rPr>
              <w:t>Elections Rules</w:t>
            </w:r>
            <w:r w:rsidRPr="00F27ECC">
              <w:rPr>
                <w:rFonts w:ascii="ITC Avant Garde Pro Bk" w:hAnsi="ITC Avant Garde Pro Bk" w:cstheme="minorHAnsi"/>
                <w:b/>
                <w:sz w:val="20"/>
                <w:szCs w:val="20"/>
              </w:rPr>
              <w:t xml:space="preserve"> and understand that any breach of the above by me or my </w:t>
            </w:r>
            <w:r w:rsidR="008945F1" w:rsidRPr="00F27ECC">
              <w:rPr>
                <w:rFonts w:ascii="ITC Avant Garde Pro Bk" w:hAnsi="ITC Avant Garde Pro Bk" w:cstheme="minorHAnsi"/>
                <w:b/>
                <w:sz w:val="20"/>
                <w:szCs w:val="20"/>
              </w:rPr>
              <w:t>supporters/</w:t>
            </w:r>
            <w:r w:rsidRPr="00F27ECC">
              <w:rPr>
                <w:rFonts w:ascii="ITC Avant Garde Pro Bk" w:hAnsi="ITC Avant Garde Pro Bk" w:cstheme="minorHAnsi"/>
                <w:b/>
                <w:sz w:val="20"/>
                <w:szCs w:val="20"/>
              </w:rPr>
              <w:t>campaign team, may result in sanctions.</w:t>
            </w:r>
          </w:p>
        </w:tc>
      </w:tr>
      <w:tr w:rsidR="00E10E01" w:rsidRPr="00F27ECC" w14:paraId="44584F00" w14:textId="77777777" w:rsidTr="00DF4579">
        <w:tc>
          <w:tcPr>
            <w:tcW w:w="1526" w:type="dxa"/>
          </w:tcPr>
          <w:p w14:paraId="44584EFC" w14:textId="77777777" w:rsidR="00E10E01" w:rsidRPr="00F27ECC" w:rsidRDefault="00E10E01" w:rsidP="00051143">
            <w:pPr>
              <w:jc w:val="both"/>
              <w:rPr>
                <w:rFonts w:ascii="ITC Avant Garde Pro Bk" w:hAnsi="ITC Avant Garde Pro Bk" w:cstheme="minorHAnsi"/>
              </w:rPr>
            </w:pPr>
          </w:p>
          <w:p w14:paraId="44584EFD" w14:textId="77777777" w:rsidR="00E10E01" w:rsidRPr="00F27ECC" w:rsidRDefault="00E10E01" w:rsidP="00051143">
            <w:pPr>
              <w:jc w:val="both"/>
              <w:rPr>
                <w:rFonts w:ascii="ITC Avant Garde Pro Bk" w:hAnsi="ITC Avant Garde Pro Bk" w:cstheme="minorHAnsi"/>
              </w:rPr>
            </w:pPr>
            <w:r w:rsidRPr="00F27ECC">
              <w:rPr>
                <w:rFonts w:ascii="ITC Avant Garde Pro Bk" w:hAnsi="ITC Avant Garde Pro Bk" w:cstheme="minorHAnsi"/>
              </w:rPr>
              <w:t>Signature</w:t>
            </w:r>
          </w:p>
          <w:p w14:paraId="44584EFE" w14:textId="77777777" w:rsidR="00E10E01" w:rsidRPr="00F27ECC" w:rsidRDefault="00E10E01" w:rsidP="00051143">
            <w:pPr>
              <w:jc w:val="both"/>
              <w:rPr>
                <w:rFonts w:ascii="ITC Avant Garde Pro Bk" w:hAnsi="ITC Avant Garde Pro Bk" w:cstheme="minorHAnsi"/>
              </w:rPr>
            </w:pPr>
          </w:p>
        </w:tc>
        <w:tc>
          <w:tcPr>
            <w:tcW w:w="7716" w:type="dxa"/>
          </w:tcPr>
          <w:p w14:paraId="44584EFF" w14:textId="25A3017C" w:rsidR="00E10E01" w:rsidRPr="00F27ECC" w:rsidRDefault="00E10E01" w:rsidP="00051143">
            <w:pPr>
              <w:jc w:val="both"/>
              <w:rPr>
                <w:rFonts w:ascii="ITC Avant Garde Pro Bk" w:hAnsi="ITC Avant Garde Pro Bk" w:cstheme="minorHAnsi"/>
              </w:rPr>
            </w:pPr>
          </w:p>
        </w:tc>
      </w:tr>
      <w:tr w:rsidR="00E10E01" w:rsidRPr="00F27ECC" w14:paraId="44584F03" w14:textId="77777777" w:rsidTr="00DF4579">
        <w:tc>
          <w:tcPr>
            <w:tcW w:w="1526" w:type="dxa"/>
          </w:tcPr>
          <w:p w14:paraId="44584F01" w14:textId="77777777" w:rsidR="00E10E01" w:rsidRPr="00F27ECC" w:rsidRDefault="00E10E01" w:rsidP="00051143">
            <w:pPr>
              <w:jc w:val="both"/>
              <w:rPr>
                <w:rFonts w:ascii="ITC Avant Garde Pro Bk" w:hAnsi="ITC Avant Garde Pro Bk" w:cstheme="minorHAnsi"/>
              </w:rPr>
            </w:pPr>
            <w:r w:rsidRPr="00F27ECC">
              <w:rPr>
                <w:rFonts w:ascii="ITC Avant Garde Pro Bk" w:hAnsi="ITC Avant Garde Pro Bk" w:cstheme="minorHAnsi"/>
              </w:rPr>
              <w:t>Name</w:t>
            </w:r>
          </w:p>
        </w:tc>
        <w:tc>
          <w:tcPr>
            <w:tcW w:w="7716" w:type="dxa"/>
          </w:tcPr>
          <w:p w14:paraId="56D3A74A" w14:textId="77777777" w:rsidR="00E10E01" w:rsidRPr="00F27ECC" w:rsidRDefault="00E10E01" w:rsidP="00051143">
            <w:pPr>
              <w:jc w:val="both"/>
              <w:rPr>
                <w:rFonts w:ascii="ITC Avant Garde Pro Bk" w:hAnsi="ITC Avant Garde Pro Bk" w:cstheme="minorHAnsi"/>
              </w:rPr>
            </w:pPr>
          </w:p>
          <w:p w14:paraId="44584F02" w14:textId="5F6C3FAD" w:rsidR="00F35461" w:rsidRPr="00F27ECC" w:rsidRDefault="00F35461" w:rsidP="00051143">
            <w:pPr>
              <w:jc w:val="both"/>
              <w:rPr>
                <w:rFonts w:ascii="ITC Avant Garde Pro Bk" w:hAnsi="ITC Avant Garde Pro Bk" w:cstheme="minorHAnsi"/>
              </w:rPr>
            </w:pPr>
          </w:p>
        </w:tc>
      </w:tr>
      <w:tr w:rsidR="00E10E01" w:rsidRPr="00F27ECC" w14:paraId="44584F06" w14:textId="77777777" w:rsidTr="00DF4579">
        <w:tc>
          <w:tcPr>
            <w:tcW w:w="1526" w:type="dxa"/>
          </w:tcPr>
          <w:p w14:paraId="44584F04" w14:textId="77777777" w:rsidR="00E10E01" w:rsidRPr="00F27ECC" w:rsidRDefault="00E10E01" w:rsidP="00051143">
            <w:pPr>
              <w:jc w:val="both"/>
              <w:rPr>
                <w:rFonts w:ascii="ITC Avant Garde Pro Bk" w:hAnsi="ITC Avant Garde Pro Bk" w:cstheme="minorHAnsi"/>
              </w:rPr>
            </w:pPr>
            <w:r w:rsidRPr="00F27ECC">
              <w:rPr>
                <w:rFonts w:ascii="ITC Avant Garde Pro Bk" w:hAnsi="ITC Avant Garde Pro Bk" w:cstheme="minorHAnsi"/>
              </w:rPr>
              <w:t>Date</w:t>
            </w:r>
          </w:p>
        </w:tc>
        <w:tc>
          <w:tcPr>
            <w:tcW w:w="7716" w:type="dxa"/>
          </w:tcPr>
          <w:p w14:paraId="40E9ABAF" w14:textId="77777777" w:rsidR="00E10E01" w:rsidRPr="00F27ECC" w:rsidRDefault="00E10E01" w:rsidP="00051143">
            <w:pPr>
              <w:jc w:val="both"/>
              <w:rPr>
                <w:rFonts w:ascii="ITC Avant Garde Pro Bk" w:hAnsi="ITC Avant Garde Pro Bk" w:cstheme="minorHAnsi"/>
              </w:rPr>
            </w:pPr>
          </w:p>
          <w:p w14:paraId="44584F05" w14:textId="1D2F76B4" w:rsidR="00F35461" w:rsidRPr="00F27ECC" w:rsidRDefault="00F35461" w:rsidP="00051143">
            <w:pPr>
              <w:jc w:val="both"/>
              <w:rPr>
                <w:rFonts w:ascii="ITC Avant Garde Pro Bk" w:hAnsi="ITC Avant Garde Pro Bk" w:cstheme="minorHAnsi"/>
              </w:rPr>
            </w:pPr>
          </w:p>
        </w:tc>
      </w:tr>
      <w:tr w:rsidR="00E10E01" w:rsidRPr="00F27ECC" w14:paraId="44584F09" w14:textId="77777777" w:rsidTr="00DF4579">
        <w:tc>
          <w:tcPr>
            <w:tcW w:w="1526" w:type="dxa"/>
          </w:tcPr>
          <w:p w14:paraId="44584F07" w14:textId="77777777" w:rsidR="00E10E01" w:rsidRPr="00F27ECC" w:rsidRDefault="00E10E01" w:rsidP="00051143">
            <w:pPr>
              <w:jc w:val="both"/>
              <w:rPr>
                <w:rFonts w:ascii="ITC Avant Garde Pro Bk" w:hAnsi="ITC Avant Garde Pro Bk" w:cstheme="minorHAnsi"/>
              </w:rPr>
            </w:pPr>
            <w:r w:rsidRPr="00F27ECC">
              <w:rPr>
                <w:rFonts w:ascii="ITC Avant Garde Pro Bk" w:hAnsi="ITC Avant Garde Pro Bk" w:cstheme="minorHAnsi"/>
              </w:rPr>
              <w:t>Position</w:t>
            </w:r>
          </w:p>
        </w:tc>
        <w:tc>
          <w:tcPr>
            <w:tcW w:w="7716" w:type="dxa"/>
          </w:tcPr>
          <w:p w14:paraId="4083D92D" w14:textId="77777777" w:rsidR="00E10E01" w:rsidRPr="00F27ECC" w:rsidRDefault="00E10E01" w:rsidP="00051143">
            <w:pPr>
              <w:jc w:val="both"/>
              <w:rPr>
                <w:rFonts w:ascii="ITC Avant Garde Pro Bk" w:hAnsi="ITC Avant Garde Pro Bk" w:cstheme="minorHAnsi"/>
              </w:rPr>
            </w:pPr>
          </w:p>
          <w:p w14:paraId="44584F08" w14:textId="4C8FB79D" w:rsidR="00F35461" w:rsidRPr="00F27ECC" w:rsidRDefault="00F35461" w:rsidP="00051143">
            <w:pPr>
              <w:jc w:val="both"/>
              <w:rPr>
                <w:rFonts w:ascii="ITC Avant Garde Pro Bk" w:hAnsi="ITC Avant Garde Pro Bk" w:cstheme="minorHAnsi"/>
              </w:rPr>
            </w:pPr>
          </w:p>
        </w:tc>
      </w:tr>
    </w:tbl>
    <w:p w14:paraId="7FBEC6F0" w14:textId="77777777" w:rsidR="007E108A" w:rsidRPr="00F27ECC" w:rsidRDefault="007E108A" w:rsidP="00051143">
      <w:pPr>
        <w:spacing w:line="240" w:lineRule="auto"/>
        <w:jc w:val="both"/>
        <w:rPr>
          <w:rFonts w:ascii="ITC Avant Garde Pro Bk" w:hAnsi="ITC Avant Garde Pro Bk" w:cstheme="minorHAnsi"/>
        </w:rPr>
      </w:pPr>
    </w:p>
    <w:sectPr w:rsidR="007E108A" w:rsidRPr="00F27EC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CCA09" w14:textId="77777777" w:rsidR="00C4235E" w:rsidRDefault="00C4235E" w:rsidP="00CF5BB1">
      <w:pPr>
        <w:spacing w:after="0" w:line="240" w:lineRule="auto"/>
      </w:pPr>
      <w:r>
        <w:separator/>
      </w:r>
    </w:p>
  </w:endnote>
  <w:endnote w:type="continuationSeparator" w:id="0">
    <w:p w14:paraId="540E1458" w14:textId="77777777" w:rsidR="00C4235E" w:rsidRDefault="00C4235E" w:rsidP="00CF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Pro Bk">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28AA" w14:textId="24439117" w:rsidR="00932D7E" w:rsidRPr="000F497B" w:rsidRDefault="00932D7E" w:rsidP="000F497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55162" w14:textId="77777777" w:rsidR="00C4235E" w:rsidRDefault="00C4235E" w:rsidP="00CF5BB1">
      <w:pPr>
        <w:spacing w:after="0" w:line="240" w:lineRule="auto"/>
      </w:pPr>
      <w:r>
        <w:separator/>
      </w:r>
    </w:p>
  </w:footnote>
  <w:footnote w:type="continuationSeparator" w:id="0">
    <w:p w14:paraId="6AF1A23A" w14:textId="77777777" w:rsidR="00C4235E" w:rsidRDefault="00C4235E" w:rsidP="00CF5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47EB" w14:textId="11CC10ED" w:rsidR="00437FE0" w:rsidRDefault="00437FE0">
    <w:pPr>
      <w:pStyle w:val="Header"/>
    </w:pPr>
    <w:r>
      <w:rPr>
        <w:rFonts w:ascii="ITC Avant Garde Pro Bk" w:hAnsi="ITC Avant Garde Pro Bk" w:cstheme="minorHAnsi"/>
        <w:b/>
        <w:noProof/>
      </w:rPr>
      <w:drawing>
        <wp:anchor distT="0" distB="0" distL="114300" distR="114300" simplePos="0" relativeHeight="251659264" behindDoc="1" locked="0" layoutInCell="1" allowOverlap="1" wp14:anchorId="5CB22206" wp14:editId="1351EDCB">
          <wp:simplePos x="0" y="0"/>
          <wp:positionH relativeFrom="margin">
            <wp:align>center</wp:align>
          </wp:positionH>
          <wp:positionV relativeFrom="paragraph">
            <wp:posOffset>-131528</wp:posOffset>
          </wp:positionV>
          <wp:extent cx="2512613" cy="474351"/>
          <wp:effectExtent l="0" t="0" r="2540" b="1905"/>
          <wp:wrapNone/>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512613" cy="4743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37D8"/>
    <w:multiLevelType w:val="hybridMultilevel"/>
    <w:tmpl w:val="2F60C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C4BCB"/>
    <w:multiLevelType w:val="hybridMultilevel"/>
    <w:tmpl w:val="F5BA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F10"/>
    <w:multiLevelType w:val="hybridMultilevel"/>
    <w:tmpl w:val="F1FE5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9223E"/>
    <w:multiLevelType w:val="hybridMultilevel"/>
    <w:tmpl w:val="082867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66A09"/>
    <w:multiLevelType w:val="hybridMultilevel"/>
    <w:tmpl w:val="1A72E0C2"/>
    <w:lvl w:ilvl="0" w:tplc="801ACF08">
      <w:start w:val="1"/>
      <w:numFmt w:val="decimal"/>
      <w:lvlText w:val="1.9.%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00AFE"/>
    <w:multiLevelType w:val="hybridMultilevel"/>
    <w:tmpl w:val="F9EED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D7180"/>
    <w:multiLevelType w:val="hybridMultilevel"/>
    <w:tmpl w:val="7598BC02"/>
    <w:lvl w:ilvl="0" w:tplc="23E2F3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A03259"/>
    <w:multiLevelType w:val="hybridMultilevel"/>
    <w:tmpl w:val="B824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E636B"/>
    <w:multiLevelType w:val="hybridMultilevel"/>
    <w:tmpl w:val="9C5A9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43157"/>
    <w:multiLevelType w:val="hybridMultilevel"/>
    <w:tmpl w:val="5F00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F1447"/>
    <w:multiLevelType w:val="hybridMultilevel"/>
    <w:tmpl w:val="19E0F4F2"/>
    <w:lvl w:ilvl="0" w:tplc="400C9904">
      <w:start w:val="1"/>
      <w:numFmt w:val="decimal"/>
      <w:lvlText w:val="1.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6446E9"/>
    <w:multiLevelType w:val="hybridMultilevel"/>
    <w:tmpl w:val="5516A4E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EE6739"/>
    <w:multiLevelType w:val="hybridMultilevel"/>
    <w:tmpl w:val="6090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0414C"/>
    <w:multiLevelType w:val="hybridMultilevel"/>
    <w:tmpl w:val="A3C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274BC"/>
    <w:multiLevelType w:val="hybridMultilevel"/>
    <w:tmpl w:val="5E208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BD4CDB"/>
    <w:multiLevelType w:val="hybridMultilevel"/>
    <w:tmpl w:val="7264CEB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527590"/>
    <w:multiLevelType w:val="hybridMultilevel"/>
    <w:tmpl w:val="A8A2EE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66595"/>
    <w:multiLevelType w:val="multilevel"/>
    <w:tmpl w:val="06C292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ITC Avant Garde Pro Bk" w:eastAsia="Times New Roman" w:hAnsi="ITC Avant Garde Pro Bk" w:cs="Calibri"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DB3A49"/>
    <w:multiLevelType w:val="hybridMultilevel"/>
    <w:tmpl w:val="715AED2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B10A62"/>
    <w:multiLevelType w:val="hybridMultilevel"/>
    <w:tmpl w:val="2ABCD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BE513C"/>
    <w:multiLevelType w:val="hybridMultilevel"/>
    <w:tmpl w:val="7D3A7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AE2A23"/>
    <w:multiLevelType w:val="hybridMultilevel"/>
    <w:tmpl w:val="BD06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AB3EE5"/>
    <w:multiLevelType w:val="hybridMultilevel"/>
    <w:tmpl w:val="D99A93EE"/>
    <w:lvl w:ilvl="0" w:tplc="59E071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8D6"/>
    <w:multiLevelType w:val="hybridMultilevel"/>
    <w:tmpl w:val="4EC8D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6439C8"/>
    <w:multiLevelType w:val="hybridMultilevel"/>
    <w:tmpl w:val="7F3C7F88"/>
    <w:lvl w:ilvl="0" w:tplc="F592947A">
      <w:start w:val="1"/>
      <w:numFmt w:val="decimal"/>
      <w:lvlText w:val="1.8.%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871D07"/>
    <w:multiLevelType w:val="hybridMultilevel"/>
    <w:tmpl w:val="5338DC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E43EA"/>
    <w:multiLevelType w:val="hybridMultilevel"/>
    <w:tmpl w:val="2EE4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02F89"/>
    <w:multiLevelType w:val="hybridMultilevel"/>
    <w:tmpl w:val="2458B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BB7415"/>
    <w:multiLevelType w:val="hybridMultilevel"/>
    <w:tmpl w:val="1ADA7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8532670">
    <w:abstractNumId w:val="25"/>
  </w:num>
  <w:num w:numId="2" w16cid:durableId="1457065629">
    <w:abstractNumId w:val="2"/>
  </w:num>
  <w:num w:numId="3" w16cid:durableId="1279027303">
    <w:abstractNumId w:val="16"/>
  </w:num>
  <w:num w:numId="4" w16cid:durableId="648553059">
    <w:abstractNumId w:val="23"/>
  </w:num>
  <w:num w:numId="5" w16cid:durableId="1841234169">
    <w:abstractNumId w:val="12"/>
  </w:num>
  <w:num w:numId="6" w16cid:durableId="1197229609">
    <w:abstractNumId w:val="8"/>
  </w:num>
  <w:num w:numId="7" w16cid:durableId="520510257">
    <w:abstractNumId w:val="22"/>
  </w:num>
  <w:num w:numId="8" w16cid:durableId="1637105719">
    <w:abstractNumId w:val="21"/>
  </w:num>
  <w:num w:numId="9" w16cid:durableId="420219269">
    <w:abstractNumId w:val="19"/>
  </w:num>
  <w:num w:numId="10" w16cid:durableId="1632203957">
    <w:abstractNumId w:val="9"/>
  </w:num>
  <w:num w:numId="11" w16cid:durableId="404570297">
    <w:abstractNumId w:val="28"/>
  </w:num>
  <w:num w:numId="12" w16cid:durableId="567812124">
    <w:abstractNumId w:val="10"/>
  </w:num>
  <w:num w:numId="13" w16cid:durableId="942105459">
    <w:abstractNumId w:val="24"/>
  </w:num>
  <w:num w:numId="14" w16cid:durableId="1265304332">
    <w:abstractNumId w:val="4"/>
  </w:num>
  <w:num w:numId="15" w16cid:durableId="532772670">
    <w:abstractNumId w:val="17"/>
  </w:num>
  <w:num w:numId="16" w16cid:durableId="1915042353">
    <w:abstractNumId w:val="3"/>
  </w:num>
  <w:num w:numId="17" w16cid:durableId="352539583">
    <w:abstractNumId w:val="1"/>
  </w:num>
  <w:num w:numId="18" w16cid:durableId="326785733">
    <w:abstractNumId w:val="0"/>
  </w:num>
  <w:num w:numId="19" w16cid:durableId="344983277">
    <w:abstractNumId w:val="15"/>
  </w:num>
  <w:num w:numId="20" w16cid:durableId="1787849494">
    <w:abstractNumId w:val="11"/>
  </w:num>
  <w:num w:numId="21" w16cid:durableId="1751737245">
    <w:abstractNumId w:val="18"/>
  </w:num>
  <w:num w:numId="22" w16cid:durableId="1282808150">
    <w:abstractNumId w:val="5"/>
  </w:num>
  <w:num w:numId="23" w16cid:durableId="870806936">
    <w:abstractNumId w:val="6"/>
  </w:num>
  <w:num w:numId="24" w16cid:durableId="1073166145">
    <w:abstractNumId w:val="20"/>
  </w:num>
  <w:num w:numId="25" w16cid:durableId="980885233">
    <w:abstractNumId w:val="14"/>
  </w:num>
  <w:num w:numId="26" w16cid:durableId="1290697972">
    <w:abstractNumId w:val="27"/>
  </w:num>
  <w:num w:numId="27" w16cid:durableId="97066686">
    <w:abstractNumId w:val="7"/>
  </w:num>
  <w:num w:numId="28" w16cid:durableId="1663772728">
    <w:abstractNumId w:val="13"/>
  </w:num>
  <w:num w:numId="29" w16cid:durableId="18126724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207"/>
    <w:rsid w:val="000100A8"/>
    <w:rsid w:val="00031B9A"/>
    <w:rsid w:val="00041E4A"/>
    <w:rsid w:val="00051143"/>
    <w:rsid w:val="00064291"/>
    <w:rsid w:val="00094A1D"/>
    <w:rsid w:val="000A4AED"/>
    <w:rsid w:val="000E7E03"/>
    <w:rsid w:val="000F497B"/>
    <w:rsid w:val="00102C90"/>
    <w:rsid w:val="00126463"/>
    <w:rsid w:val="00150F28"/>
    <w:rsid w:val="00153B0F"/>
    <w:rsid w:val="001575FD"/>
    <w:rsid w:val="001B6F1D"/>
    <w:rsid w:val="00234558"/>
    <w:rsid w:val="00243F1F"/>
    <w:rsid w:val="00255A65"/>
    <w:rsid w:val="002678E0"/>
    <w:rsid w:val="00277D0A"/>
    <w:rsid w:val="0029728C"/>
    <w:rsid w:val="002B2E96"/>
    <w:rsid w:val="002D27F6"/>
    <w:rsid w:val="00310FE2"/>
    <w:rsid w:val="00314758"/>
    <w:rsid w:val="0031522B"/>
    <w:rsid w:val="00340096"/>
    <w:rsid w:val="0035382B"/>
    <w:rsid w:val="00373F97"/>
    <w:rsid w:val="0038478E"/>
    <w:rsid w:val="003B39A2"/>
    <w:rsid w:val="003D37AD"/>
    <w:rsid w:val="00403FE1"/>
    <w:rsid w:val="00437FE0"/>
    <w:rsid w:val="00461E6E"/>
    <w:rsid w:val="0047524E"/>
    <w:rsid w:val="004801CC"/>
    <w:rsid w:val="00496D34"/>
    <w:rsid w:val="004B6380"/>
    <w:rsid w:val="004D2953"/>
    <w:rsid w:val="004F16D8"/>
    <w:rsid w:val="00501DD9"/>
    <w:rsid w:val="00527B25"/>
    <w:rsid w:val="00593A47"/>
    <w:rsid w:val="005F38BD"/>
    <w:rsid w:val="005F7A20"/>
    <w:rsid w:val="00601A7D"/>
    <w:rsid w:val="00634813"/>
    <w:rsid w:val="0068082F"/>
    <w:rsid w:val="006B07BD"/>
    <w:rsid w:val="006D2003"/>
    <w:rsid w:val="006E121F"/>
    <w:rsid w:val="00714799"/>
    <w:rsid w:val="00775DD6"/>
    <w:rsid w:val="007843F5"/>
    <w:rsid w:val="007B352F"/>
    <w:rsid w:val="007C3262"/>
    <w:rsid w:val="007E108A"/>
    <w:rsid w:val="00807DB3"/>
    <w:rsid w:val="00812CE2"/>
    <w:rsid w:val="00852A0D"/>
    <w:rsid w:val="008567C7"/>
    <w:rsid w:val="00877150"/>
    <w:rsid w:val="008945F1"/>
    <w:rsid w:val="008E5157"/>
    <w:rsid w:val="00932207"/>
    <w:rsid w:val="00932D7E"/>
    <w:rsid w:val="00933E9D"/>
    <w:rsid w:val="00934AAB"/>
    <w:rsid w:val="009547C2"/>
    <w:rsid w:val="00954FC0"/>
    <w:rsid w:val="009630FE"/>
    <w:rsid w:val="00972314"/>
    <w:rsid w:val="009804A5"/>
    <w:rsid w:val="009D5B8A"/>
    <w:rsid w:val="00A0110D"/>
    <w:rsid w:val="00A056AD"/>
    <w:rsid w:val="00A23354"/>
    <w:rsid w:val="00A30FEC"/>
    <w:rsid w:val="00AC2C77"/>
    <w:rsid w:val="00AD670B"/>
    <w:rsid w:val="00AE23F7"/>
    <w:rsid w:val="00AF662D"/>
    <w:rsid w:val="00B15FE2"/>
    <w:rsid w:val="00B72310"/>
    <w:rsid w:val="00BC4AC7"/>
    <w:rsid w:val="00BD5FE9"/>
    <w:rsid w:val="00BE0B1C"/>
    <w:rsid w:val="00BF1FFF"/>
    <w:rsid w:val="00C22740"/>
    <w:rsid w:val="00C314B5"/>
    <w:rsid w:val="00C4235E"/>
    <w:rsid w:val="00C7647A"/>
    <w:rsid w:val="00C87506"/>
    <w:rsid w:val="00C92123"/>
    <w:rsid w:val="00CC0163"/>
    <w:rsid w:val="00CD246F"/>
    <w:rsid w:val="00CF5BB1"/>
    <w:rsid w:val="00D553D7"/>
    <w:rsid w:val="00D62E20"/>
    <w:rsid w:val="00D87D93"/>
    <w:rsid w:val="00DC4017"/>
    <w:rsid w:val="00DE1CB9"/>
    <w:rsid w:val="00DE43A4"/>
    <w:rsid w:val="00DE536F"/>
    <w:rsid w:val="00DF4579"/>
    <w:rsid w:val="00DF66C2"/>
    <w:rsid w:val="00E106A7"/>
    <w:rsid w:val="00E10E01"/>
    <w:rsid w:val="00E31F51"/>
    <w:rsid w:val="00E547B5"/>
    <w:rsid w:val="00EA1390"/>
    <w:rsid w:val="00ED687B"/>
    <w:rsid w:val="00F20654"/>
    <w:rsid w:val="00F27ECC"/>
    <w:rsid w:val="00F35461"/>
    <w:rsid w:val="00F432D3"/>
    <w:rsid w:val="00F52B21"/>
    <w:rsid w:val="00F5514C"/>
    <w:rsid w:val="00F765AF"/>
    <w:rsid w:val="00F765F0"/>
    <w:rsid w:val="00FB40A1"/>
    <w:rsid w:val="00FD76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84EC7"/>
  <w15:docId w15:val="{812B0931-221D-4135-98C7-0559B896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5F1"/>
    <w:pPr>
      <w:keepNext/>
      <w:spacing w:before="240" w:after="60" w:line="240" w:lineRule="auto"/>
      <w:outlineLvl w:val="0"/>
    </w:pPr>
    <w:rPr>
      <w:rFonts w:ascii="Calibri Light" w:eastAsia="Times New Roman" w:hAnsi="Calibri Light" w:cs="Times New Roman"/>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207"/>
    <w:rPr>
      <w:rFonts w:ascii="Tahoma" w:hAnsi="Tahoma" w:cs="Tahoma"/>
      <w:sz w:val="16"/>
      <w:szCs w:val="16"/>
    </w:rPr>
  </w:style>
  <w:style w:type="paragraph" w:styleId="ListParagraph">
    <w:name w:val="List Paragraph"/>
    <w:basedOn w:val="Normal"/>
    <w:uiPriority w:val="34"/>
    <w:qFormat/>
    <w:rsid w:val="00243F1F"/>
    <w:pPr>
      <w:ind w:left="720"/>
      <w:contextualSpacing/>
    </w:pPr>
  </w:style>
  <w:style w:type="table" w:styleId="TableGrid">
    <w:name w:val="Table Grid"/>
    <w:basedOn w:val="TableNormal"/>
    <w:uiPriority w:val="59"/>
    <w:rsid w:val="00DF4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5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BB1"/>
  </w:style>
  <w:style w:type="paragraph" w:styleId="Footer">
    <w:name w:val="footer"/>
    <w:basedOn w:val="Normal"/>
    <w:link w:val="FooterChar"/>
    <w:uiPriority w:val="99"/>
    <w:unhideWhenUsed/>
    <w:rsid w:val="00CF5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BB1"/>
  </w:style>
  <w:style w:type="character" w:styleId="Hyperlink">
    <w:name w:val="Hyperlink"/>
    <w:basedOn w:val="DefaultParagraphFont"/>
    <w:uiPriority w:val="99"/>
    <w:unhideWhenUsed/>
    <w:rsid w:val="00F765F0"/>
    <w:rPr>
      <w:color w:val="0000FF" w:themeColor="hyperlink"/>
      <w:u w:val="single"/>
    </w:rPr>
  </w:style>
  <w:style w:type="character" w:customStyle="1" w:styleId="UnresolvedMention1">
    <w:name w:val="Unresolved Mention1"/>
    <w:basedOn w:val="DefaultParagraphFont"/>
    <w:uiPriority w:val="99"/>
    <w:semiHidden/>
    <w:unhideWhenUsed/>
    <w:rsid w:val="00F765F0"/>
    <w:rPr>
      <w:color w:val="808080"/>
      <w:shd w:val="clear" w:color="auto" w:fill="E6E6E6"/>
    </w:rPr>
  </w:style>
  <w:style w:type="character" w:styleId="CommentReference">
    <w:name w:val="annotation reference"/>
    <w:uiPriority w:val="99"/>
    <w:semiHidden/>
    <w:unhideWhenUsed/>
    <w:rsid w:val="00064291"/>
    <w:rPr>
      <w:sz w:val="16"/>
      <w:szCs w:val="16"/>
    </w:rPr>
  </w:style>
  <w:style w:type="paragraph" w:styleId="CommentText">
    <w:name w:val="annotation text"/>
    <w:basedOn w:val="Normal"/>
    <w:link w:val="CommentTextChar"/>
    <w:uiPriority w:val="99"/>
    <w:unhideWhenUsed/>
    <w:rsid w:val="00064291"/>
    <w:pPr>
      <w:spacing w:after="0" w:line="240" w:lineRule="auto"/>
    </w:pPr>
    <w:rPr>
      <w:rFonts w:ascii="Calibri" w:eastAsia="Calibri" w:hAnsi="Calibri" w:cs="Arial"/>
      <w:sz w:val="20"/>
      <w:szCs w:val="20"/>
      <w:lang w:eastAsia="en-GB"/>
    </w:rPr>
  </w:style>
  <w:style w:type="character" w:customStyle="1" w:styleId="CommentTextChar">
    <w:name w:val="Comment Text Char"/>
    <w:basedOn w:val="DefaultParagraphFont"/>
    <w:link w:val="CommentText"/>
    <w:uiPriority w:val="99"/>
    <w:rsid w:val="00064291"/>
    <w:rPr>
      <w:rFonts w:ascii="Calibri" w:eastAsia="Calibri" w:hAnsi="Calibri" w:cs="Arial"/>
      <w:sz w:val="20"/>
      <w:szCs w:val="20"/>
      <w:lang w:eastAsia="en-GB"/>
    </w:rPr>
  </w:style>
  <w:style w:type="character" w:styleId="FollowedHyperlink">
    <w:name w:val="FollowedHyperlink"/>
    <w:basedOn w:val="DefaultParagraphFont"/>
    <w:uiPriority w:val="99"/>
    <w:semiHidden/>
    <w:unhideWhenUsed/>
    <w:rsid w:val="00051143"/>
    <w:rPr>
      <w:color w:val="800080" w:themeColor="followedHyperlink"/>
      <w:u w:val="single"/>
    </w:rPr>
  </w:style>
  <w:style w:type="character" w:styleId="UnresolvedMention">
    <w:name w:val="Unresolved Mention"/>
    <w:basedOn w:val="DefaultParagraphFont"/>
    <w:uiPriority w:val="99"/>
    <w:semiHidden/>
    <w:unhideWhenUsed/>
    <w:rsid w:val="00DC4017"/>
    <w:rPr>
      <w:color w:val="605E5C"/>
      <w:shd w:val="clear" w:color="auto" w:fill="E1DFDD"/>
    </w:rPr>
  </w:style>
  <w:style w:type="paragraph" w:styleId="Title">
    <w:name w:val="Title"/>
    <w:basedOn w:val="Normal"/>
    <w:next w:val="Normal"/>
    <w:link w:val="TitleChar"/>
    <w:uiPriority w:val="10"/>
    <w:qFormat/>
    <w:rsid w:val="009630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0F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AE23F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E23F7"/>
    <w:rPr>
      <w:rFonts w:ascii="Calibri" w:eastAsia="Calibri" w:hAnsi="Calibri" w:cs="Arial"/>
      <w:b/>
      <w:bCs/>
      <w:sz w:val="20"/>
      <w:szCs w:val="20"/>
      <w:lang w:eastAsia="en-GB"/>
    </w:rPr>
  </w:style>
  <w:style w:type="character" w:customStyle="1" w:styleId="Heading1Char">
    <w:name w:val="Heading 1 Char"/>
    <w:basedOn w:val="DefaultParagraphFont"/>
    <w:link w:val="Heading1"/>
    <w:uiPriority w:val="9"/>
    <w:rsid w:val="008945F1"/>
    <w:rPr>
      <w:rFonts w:ascii="Calibri Light" w:eastAsia="Times New Roman" w:hAnsi="Calibri Light" w:cs="Times New Roman"/>
      <w:b/>
      <w:bCs/>
      <w:kern w:val="32"/>
      <w:sz w:val="32"/>
      <w:szCs w:val="32"/>
      <w:lang w:eastAsia="en-GB"/>
    </w:rPr>
  </w:style>
  <w:style w:type="paragraph" w:customStyle="1" w:styleId="paragraph">
    <w:name w:val="paragraph"/>
    <w:basedOn w:val="Normal"/>
    <w:rsid w:val="00437F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7FE0"/>
  </w:style>
  <w:style w:type="paragraph" w:styleId="NoSpacing">
    <w:name w:val="No Spacing"/>
    <w:uiPriority w:val="1"/>
    <w:qFormat/>
    <w:rsid w:val="004D29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01C11CC8F2F04E8AA04C3A46F572B9" ma:contentTypeVersion="12" ma:contentTypeDescription="Create a new document." ma:contentTypeScope="" ma:versionID="b753d4be10e93f2ea938a95497ddbe34">
  <xsd:schema xmlns:xsd="http://www.w3.org/2001/XMLSchema" xmlns:xs="http://www.w3.org/2001/XMLSchema" xmlns:p="http://schemas.microsoft.com/office/2006/metadata/properties" xmlns:ns2="0b9ef1cc-2154-4c36-893e-9de7adf9da4a" xmlns:ns3="d6154c05-6ca2-4589-a814-079b4b733798" targetNamespace="http://schemas.microsoft.com/office/2006/metadata/properties" ma:root="true" ma:fieldsID="3d6139080af39ebcd3bd40ee2e954f50" ns2:_="" ns3:_="">
    <xsd:import namespace="0b9ef1cc-2154-4c36-893e-9de7adf9da4a"/>
    <xsd:import namespace="d6154c05-6ca2-4589-a814-079b4b733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f1cc-2154-4c36-893e-9de7adf9d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54c05-6ca2-4589-a814-079b4b7337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D61C3-3C46-4D35-A7E0-8FD6EEE7EF8A}">
  <ds:schemaRefs>
    <ds:schemaRef ds:uri="http://schemas.microsoft.com/sharepoint/v3/contenttype/forms"/>
  </ds:schemaRefs>
</ds:datastoreItem>
</file>

<file path=customXml/itemProps2.xml><?xml version="1.0" encoding="utf-8"?>
<ds:datastoreItem xmlns:ds="http://schemas.openxmlformats.org/officeDocument/2006/customXml" ds:itemID="{C7BD1CC7-E120-4433-94F5-84AA6DE74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f1cc-2154-4c36-893e-9de7adf9da4a"/>
    <ds:schemaRef ds:uri="d6154c05-6ca2-4589-a814-079b4b733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FA86D-A566-4D1E-96F1-10D6A31253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Swainson, Thomas</dc:creator>
  <cp:lastModifiedBy>Falacinska, Natalia</cp:lastModifiedBy>
  <cp:revision>2</cp:revision>
  <cp:lastPrinted>2017-02-23T10:37:00Z</cp:lastPrinted>
  <dcterms:created xsi:type="dcterms:W3CDTF">2024-12-19T12:01:00Z</dcterms:created>
  <dcterms:modified xsi:type="dcterms:W3CDTF">2024-12-19T12:01:00Z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0x0101002101C11CC8F2F04E8AA04C3A46F572B9</vt:lpwstr>
  </property>
</Properties>
</file>